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19E9B" w14:textId="77777777" w:rsidR="00F026CE" w:rsidRDefault="004B5B19"/>
    <w:p w14:paraId="14B19E9C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9D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REGELVERK</w:t>
      </w:r>
    </w:p>
    <w:p w14:paraId="14B19E9E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FOR</w:t>
      </w:r>
    </w:p>
    <w:p w14:paraId="14B19E9F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DRIFTEN AV </w:t>
      </w:r>
    </w:p>
    <w:p w14:paraId="14B19EA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BARNEHAGEN SMÅTROLL AS</w:t>
      </w:r>
    </w:p>
    <w:p w14:paraId="14B19EA1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A2" w14:textId="77777777" w:rsidR="004F349B" w:rsidRPr="00D23D90" w:rsidRDefault="004F349B" w:rsidP="004F349B">
      <w:pPr>
        <w:rPr>
          <w:rFonts w:ascii="Bookman Old Style" w:hAnsi="Bookman Old Style"/>
          <w:b/>
          <w:color w:val="FF0000"/>
          <w:sz w:val="22"/>
        </w:rPr>
      </w:pPr>
    </w:p>
    <w:p w14:paraId="14B19EA3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A4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A5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</w:t>
      </w:r>
    </w:p>
    <w:p w14:paraId="14B19EA6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Forholdet til selskapets vedtekter.</w:t>
      </w:r>
    </w:p>
    <w:p w14:paraId="14B19EA7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A8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Innenfor rammen av selskapsvedtektene for Barnehagen Småtroll AS skal gjelde det regelverk som følger av bestemmelsene nedenfor.  </w:t>
      </w:r>
    </w:p>
    <w:p w14:paraId="14B19EA9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AA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2</w:t>
      </w:r>
    </w:p>
    <w:p w14:paraId="14B19EAB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Rammer for driften.  </w:t>
      </w:r>
    </w:p>
    <w:p w14:paraId="14B19EAC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AD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 skal drives i samsvar med lov om barnehager, forskrifter og retningslinjer som fastsettes av departementet og årsplan for barnehagen.  </w:t>
      </w:r>
    </w:p>
    <w:p w14:paraId="14B19EAE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AF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3</w:t>
      </w:r>
    </w:p>
    <w:p w14:paraId="14B19EB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Nærmere om formålet for barnehagens drift.  </w:t>
      </w:r>
    </w:p>
    <w:p w14:paraId="14B19EB1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B2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 skal i samarbeid og forståelse med hjemmet ivareta barnas behov for omsorg og lek, og fremme læring og danning som grunnlag for allsidig utvikling.  </w:t>
      </w:r>
    </w:p>
    <w:p w14:paraId="14B19EB3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B4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 skal være nøytral i livssynsspørsmål.  </w:t>
      </w:r>
    </w:p>
    <w:p w14:paraId="14B19EB5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B6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4</w:t>
      </w:r>
    </w:p>
    <w:p w14:paraId="14B19EB7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Tildeling av plass.</w:t>
      </w:r>
    </w:p>
    <w:p w14:paraId="14B19EB8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B9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Barnehagens opptakskrets er Rana kommune.  </w:t>
      </w:r>
    </w:p>
    <w:p w14:paraId="14B19EBA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BB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 er åpen for barn i alderen 0-6 år.  Barn som er tildelt plass, får som utgangspunkt beholde plassen til utgangen av barnehageåret det år barnet fyller seks år.  Unntak kan bl. a. tenkes i tilfeller hvor avtalen om barnehageplass er misligholdt.  </w:t>
      </w:r>
    </w:p>
    <w:p w14:paraId="14B19EBC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BD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Følgende kriterier i prioritert rekkefølge gjelder innenfor opptakskretsen:</w:t>
      </w:r>
    </w:p>
    <w:p w14:paraId="14B19EBE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BF" w14:textId="77777777" w:rsidR="004F349B" w:rsidRDefault="004F349B" w:rsidP="004F349B">
      <w:pPr>
        <w:numPr>
          <w:ilvl w:val="0"/>
          <w:numId w:val="1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 hht. barnehagelovens § 13 har barn med nedsatt funksjonsevne og barn som det er fattet vedtak om etter lov om barneverntjenester §§ 4-12 </w:t>
      </w:r>
      <w:r>
        <w:rPr>
          <w:rFonts w:ascii="Bookman Old Style" w:hAnsi="Bookman Old Style"/>
          <w:sz w:val="22"/>
        </w:rPr>
        <w:br/>
        <w:t xml:space="preserve">og 4-4, 2. og 4. ledd, rett til prioritet ved opptak i barnehage.  </w:t>
      </w:r>
      <w:r>
        <w:rPr>
          <w:rFonts w:ascii="Bookman Old Style" w:hAnsi="Bookman Old Style"/>
          <w:sz w:val="22"/>
        </w:rPr>
        <w:br/>
      </w:r>
    </w:p>
    <w:p w14:paraId="14B19EC0" w14:textId="77777777" w:rsidR="004F349B" w:rsidRDefault="004F349B" w:rsidP="004F349B">
      <w:pPr>
        <w:numPr>
          <w:ilvl w:val="0"/>
          <w:numId w:val="1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 av førskolelærere som ble ansatt med tilbud om barnehageplass.  </w:t>
      </w:r>
      <w:r>
        <w:rPr>
          <w:rFonts w:ascii="Bookman Old Style" w:hAnsi="Bookman Old Style"/>
          <w:sz w:val="22"/>
        </w:rPr>
        <w:br/>
      </w:r>
    </w:p>
    <w:p w14:paraId="14B19EC1" w14:textId="77777777" w:rsidR="004F349B" w:rsidRDefault="004F349B" w:rsidP="004F349B">
      <w:pPr>
        <w:numPr>
          <w:ilvl w:val="0"/>
          <w:numId w:val="1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 av organiserte i eierforeningene ved Rana Blad og Nasjonalbiblioteket, avd. Rana går foran barn av ikke-organiserte.  </w:t>
      </w:r>
      <w:r>
        <w:rPr>
          <w:rFonts w:ascii="Bookman Old Style" w:hAnsi="Bookman Old Style"/>
          <w:sz w:val="22"/>
        </w:rPr>
        <w:br/>
      </w:r>
    </w:p>
    <w:p w14:paraId="14B19EC2" w14:textId="77777777" w:rsidR="004F349B" w:rsidRDefault="004F349B" w:rsidP="004F349B">
      <w:pPr>
        <w:numPr>
          <w:ilvl w:val="0"/>
          <w:numId w:val="1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Personalets barn.  </w:t>
      </w:r>
      <w:r>
        <w:rPr>
          <w:rFonts w:ascii="Bookman Old Style" w:hAnsi="Bookman Old Style"/>
          <w:sz w:val="22"/>
        </w:rPr>
        <w:br/>
      </w:r>
    </w:p>
    <w:p w14:paraId="14B19EC3" w14:textId="77777777" w:rsidR="00E10713" w:rsidRDefault="004F349B" w:rsidP="00E10713">
      <w:pPr>
        <w:numPr>
          <w:ilvl w:val="0"/>
          <w:numId w:val="1"/>
        </w:numPr>
        <w:rPr>
          <w:rFonts w:ascii="Bookman Old Style" w:hAnsi="Bookman Old Style"/>
          <w:sz w:val="22"/>
        </w:rPr>
      </w:pPr>
      <w:r w:rsidRPr="00E10713">
        <w:rPr>
          <w:rFonts w:ascii="Bookman Old Style" w:hAnsi="Bookman Old Style"/>
          <w:snapToGrid w:val="0"/>
          <w:sz w:val="22"/>
          <w:szCs w:val="22"/>
        </w:rPr>
        <w:lastRenderedPageBreak/>
        <w:t xml:space="preserve">Søsken av barn som har plass i barnehagen. </w:t>
      </w:r>
      <w:r w:rsidRPr="00E10713">
        <w:rPr>
          <w:rFonts w:ascii="Bookman Old Style" w:hAnsi="Bookman Old Style"/>
          <w:sz w:val="22"/>
          <w:szCs w:val="22"/>
        </w:rPr>
        <w:br/>
      </w:r>
    </w:p>
    <w:p w14:paraId="14B19EC4" w14:textId="77777777" w:rsidR="00E10713" w:rsidRPr="002F66B8" w:rsidRDefault="00E10713" w:rsidP="00E10713">
      <w:pPr>
        <w:numPr>
          <w:ilvl w:val="0"/>
          <w:numId w:val="1"/>
        </w:numPr>
        <w:rPr>
          <w:rFonts w:ascii="Bookman Old Style" w:hAnsi="Bookman Old Style"/>
          <w:sz w:val="22"/>
        </w:rPr>
      </w:pPr>
      <w:r w:rsidRPr="002F66B8">
        <w:rPr>
          <w:rFonts w:ascii="Bookman Old Style" w:hAnsi="Bookman Old Style"/>
          <w:sz w:val="22"/>
        </w:rPr>
        <w:t xml:space="preserve">De barna på venteliste som er tildelt 20, 40 eller 50 av </w:t>
      </w:r>
      <w:r>
        <w:rPr>
          <w:rFonts w:ascii="Bookman Old Style" w:hAnsi="Bookman Old Style"/>
          <w:sz w:val="22"/>
        </w:rPr>
        <w:t xml:space="preserve">uttaksnemnda. </w:t>
      </w:r>
    </w:p>
    <w:p w14:paraId="14B19EC5" w14:textId="77777777" w:rsidR="004F349B" w:rsidRPr="00D23D90" w:rsidRDefault="004F349B" w:rsidP="00E10713">
      <w:pPr>
        <w:rPr>
          <w:rFonts w:ascii="Bookman Old Style" w:hAnsi="Bookman Old Style"/>
          <w:color w:val="FF0000"/>
          <w:sz w:val="22"/>
          <w:szCs w:val="22"/>
        </w:rPr>
      </w:pPr>
    </w:p>
    <w:p w14:paraId="14B19EC6" w14:textId="77777777" w:rsidR="004F349B" w:rsidRDefault="004F349B" w:rsidP="004F349B">
      <w:pPr>
        <w:numPr>
          <w:ilvl w:val="0"/>
          <w:numId w:val="1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Interne </w:t>
      </w:r>
      <w:smartTag w:uri="urn:schemas-microsoft-com:office:smarttags" w:element="PersonName">
        <w:r>
          <w:rPr>
            <w:rFonts w:ascii="Bookman Old Style" w:hAnsi="Bookman Old Style"/>
            <w:sz w:val="22"/>
          </w:rPr>
          <w:t>ove</w:t>
        </w:r>
      </w:smartTag>
      <w:r>
        <w:rPr>
          <w:rFonts w:ascii="Bookman Old Style" w:hAnsi="Bookman Old Style"/>
          <w:sz w:val="22"/>
        </w:rPr>
        <w:t>rflyttinger.</w:t>
      </w:r>
      <w:r>
        <w:rPr>
          <w:rFonts w:ascii="Bookman Old Style" w:hAnsi="Bookman Old Style"/>
          <w:sz w:val="22"/>
        </w:rPr>
        <w:br/>
      </w:r>
    </w:p>
    <w:p w14:paraId="14B19EC7" w14:textId="77777777" w:rsidR="004F349B" w:rsidRDefault="004F349B" w:rsidP="004F349B">
      <w:pPr>
        <w:numPr>
          <w:ilvl w:val="0"/>
          <w:numId w:val="1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Venteliste.  </w:t>
      </w:r>
    </w:p>
    <w:p w14:paraId="14B19EC8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C9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Se utdyping av opptakskriteriene i ”Prosedyre for opptak av barn”.  </w:t>
      </w:r>
    </w:p>
    <w:p w14:paraId="14B19ECA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CB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5</w:t>
      </w:r>
    </w:p>
    <w:p w14:paraId="14B19ECC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Søknadsfrist for barnehageplass.  </w:t>
      </w:r>
    </w:p>
    <w:p w14:paraId="14B19ECD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CE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Alle barnehager i Rana kommune er med i et felles opptakssystem av barn i regi av kommunen.  Søknadsfrist for h</w:t>
      </w:r>
      <w:smartTag w:uri="urn:schemas-microsoft-com:office:smarttags" w:element="PersonName">
        <w:r>
          <w:rPr>
            <w:rFonts w:ascii="Bookman Old Style" w:hAnsi="Bookman Old Style"/>
            <w:sz w:val="22"/>
          </w:rPr>
          <w:t>ove</w:t>
        </w:r>
      </w:smartTag>
      <w:r>
        <w:rPr>
          <w:rFonts w:ascii="Bookman Old Style" w:hAnsi="Bookman Old Style"/>
          <w:sz w:val="22"/>
        </w:rPr>
        <w:t xml:space="preserve">dopptak av nye barn er 1. april, men det tas inn nye barn hele året etter hvert som det blir ledige plasser.  </w:t>
      </w:r>
    </w:p>
    <w:p w14:paraId="14B19ECF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D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6</w:t>
      </w:r>
    </w:p>
    <w:p w14:paraId="14B19ED1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Innskudd og foreldrebetaling.</w:t>
      </w:r>
    </w:p>
    <w:p w14:paraId="14B19ED2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D3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Foreldre og foresatte som får tildelt plass for sine barn må betale et innskudd før plassen tas i bruk.  Innskuddets størrelse fastsettes av styret.  Det beregnes fullt innskudd uavhengig av hvorvidt det benyttes heltids- eller deltidsplass.  Innskuddet tilbakebetales senest to måneder etter at plassen er sagt opp.  </w:t>
      </w:r>
    </w:p>
    <w:p w14:paraId="14B19ED4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De som får tildelt plass i barnehagen må betale månedlig foreldrebetaling i hht. Statens gjeldende regler for makspris.  Barnehagen har en betalingsfri måned (juli).  </w:t>
      </w:r>
    </w:p>
    <w:p w14:paraId="14B19ED5" w14:textId="0A41F57D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Søskenmoderasjon er i hht. Rana kommunes satser.</w:t>
      </w:r>
      <w:r w:rsidR="00E10713">
        <w:rPr>
          <w:rFonts w:ascii="Bookman Old Style" w:hAnsi="Bookman Old Style"/>
          <w:sz w:val="22"/>
        </w:rPr>
        <w:t xml:space="preserve"> Det gjøres oppmerksom på at søsken må ha samme folk</w:t>
      </w:r>
      <w:r w:rsidR="00E3499E">
        <w:rPr>
          <w:rFonts w:ascii="Bookman Old Style" w:hAnsi="Bookman Old Style"/>
          <w:sz w:val="22"/>
        </w:rPr>
        <w:t>eregistrerte adresse</w:t>
      </w:r>
      <w:r w:rsidR="00E10713">
        <w:rPr>
          <w:rFonts w:ascii="Bookman Old Style" w:hAnsi="Bookman Old Style"/>
          <w:sz w:val="22"/>
        </w:rPr>
        <w:t xml:space="preserve"> for å få </w:t>
      </w:r>
      <w:r w:rsidR="004B5B19">
        <w:rPr>
          <w:rFonts w:ascii="Bookman Old Style" w:hAnsi="Bookman Old Style"/>
          <w:sz w:val="22"/>
        </w:rPr>
        <w:t>søskenmoderasjon</w:t>
      </w:r>
      <w:bookmarkStart w:id="0" w:name="_GoBack"/>
      <w:bookmarkEnd w:id="0"/>
      <w:r w:rsidR="00E10713">
        <w:rPr>
          <w:rFonts w:ascii="Bookman Old Style" w:hAnsi="Bookman Old Style"/>
          <w:sz w:val="22"/>
        </w:rPr>
        <w:t>.</w:t>
      </w:r>
    </w:p>
    <w:p w14:paraId="14B19ED6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Manglende innskudd/foreldrebetaling fører automatisk til tap av tildelt plass.</w:t>
      </w:r>
    </w:p>
    <w:p w14:paraId="14B19ED7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D8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7</w:t>
      </w:r>
    </w:p>
    <w:p w14:paraId="14B19ED9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Dugnadsplikt.</w:t>
      </w:r>
    </w:p>
    <w:p w14:paraId="14B19EDA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DB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Foreldre med barn i barnehagen plikter å delta med minst 4 timer dugnad pr. kalenderår. </w:t>
      </w:r>
    </w:p>
    <w:p w14:paraId="14B19EDC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Styret vedtar regler for dugnad og fastsetter timepris for hver manglende dugnadstime  </w:t>
      </w:r>
    </w:p>
    <w:p w14:paraId="14B19EDD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DE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8</w:t>
      </w:r>
    </w:p>
    <w:p w14:paraId="14B19EDF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Oppsigelse av barnehageplass.  </w:t>
      </w:r>
    </w:p>
    <w:p w14:paraId="14B19EE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E1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Oppsigelse av plass skal foregå via Rana Kommune sin nettportal for foresatte med minst en måneds varsel. Styret kan i særlige tilfeller unnvike fra enmåneders-regelen.  Oppsigelsesdato er den 1. i hver måned.  Plassen kan ikke sies opp mellom 1. april og 1. august.  </w:t>
      </w:r>
    </w:p>
    <w:p w14:paraId="14B19EE2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E3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9</w:t>
      </w:r>
    </w:p>
    <w:p w14:paraId="14B19EE4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Åpningstid/ferie.</w:t>
      </w:r>
    </w:p>
    <w:p w14:paraId="14B19EE5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E6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 har åpent fra kl. 06.45 til kl. 16.45.  </w:t>
      </w:r>
    </w:p>
    <w:p w14:paraId="14B19EE7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Åpningstiden kan utvides av styret når spesielle tilfeller tilsier det.  </w:t>
      </w:r>
    </w:p>
    <w:p w14:paraId="14B19EE8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E9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 likhet med kommunale barnehager holder barnehagen stengt julaften og nyttårsaften.  Onsdag før skjærtorsdag stenger vi kl. 12.00.  </w:t>
      </w:r>
    </w:p>
    <w:p w14:paraId="14B19EEA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EB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Barnehagen begynner nytt år rundt 20. august etter sommerferien.</w:t>
      </w:r>
    </w:p>
    <w:p w14:paraId="14B19EEC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Det er fem planleggingsdager i året.  I tillegg til planleggingsdagene må barnet ha ferie i tre uker, hvorav minst 14 dager sammenhengende i løpet av barnehageåret.  </w:t>
      </w:r>
    </w:p>
    <w:p w14:paraId="14B19EED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 skal ha beskjed om planlagt ferie senest 15. april og eventuelt avvik umiddelbart etter 1. mai.  </w:t>
      </w:r>
    </w:p>
    <w:p w14:paraId="14B19EEE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EF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10</w:t>
      </w:r>
    </w:p>
    <w:p w14:paraId="14B19EF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Helsekontroll.</w:t>
      </w:r>
    </w:p>
    <w:p w14:paraId="14B19EF1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F2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Før et barn begynner i barnehagen skal det legges frem erklæring om barnets helse.  </w:t>
      </w:r>
    </w:p>
    <w:p w14:paraId="14B19EF3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Dersom barnet har møtt til de ordinære undersøkelsene ved den helsestasjonen barnet sokner til, kan slik erklæring gis av foresatte på skjema fastsatt av Helsedirektoratet.  </w:t>
      </w:r>
    </w:p>
    <w:p w14:paraId="14B19EF4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F5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Barnehagens personale har plikt til å gjennomgå tuberkulosekontroll i henhold til gjeldende regelverk.  </w:t>
      </w:r>
    </w:p>
    <w:p w14:paraId="14B19EF6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F7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Det nærmeste tilsyn med helsetiltak i barnehagen føres av den kommunale helsemyndighet.  </w:t>
      </w:r>
    </w:p>
    <w:p w14:paraId="14B19EF8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EF9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11</w:t>
      </w:r>
    </w:p>
    <w:p w14:paraId="14B19EFA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Politiattest.  </w:t>
      </w:r>
    </w:p>
    <w:p w14:paraId="14B19EFB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EFC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Den som skal arbeide i barnehagen må legge frem tilfredsstillende politiattest.  </w:t>
      </w:r>
    </w:p>
    <w:p w14:paraId="14B19EFD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Attesten skal vise om vedkommende er siktet, tiltalt eller dømt for seksuelle </w:t>
      </w:r>
      <w:smartTag w:uri="urn:schemas-microsoft-com:office:smarttags" w:element="PersonName">
        <w:r>
          <w:rPr>
            <w:rFonts w:ascii="Bookman Old Style" w:hAnsi="Bookman Old Style"/>
            <w:sz w:val="22"/>
          </w:rPr>
          <w:t>ove</w:t>
        </w:r>
      </w:smartTag>
      <w:r>
        <w:rPr>
          <w:rFonts w:ascii="Bookman Old Style" w:hAnsi="Bookman Old Style"/>
          <w:sz w:val="22"/>
        </w:rPr>
        <w:t xml:space="preserve">rgrep mot barn.  Personer som er dømt for seksuelle </w:t>
      </w:r>
      <w:smartTag w:uri="urn:schemas-microsoft-com:office:smarttags" w:element="PersonName">
        <w:r>
          <w:rPr>
            <w:rFonts w:ascii="Bookman Old Style" w:hAnsi="Bookman Old Style"/>
            <w:sz w:val="22"/>
          </w:rPr>
          <w:t>ove</w:t>
        </w:r>
      </w:smartTag>
      <w:r>
        <w:rPr>
          <w:rFonts w:ascii="Bookman Old Style" w:hAnsi="Bookman Old Style"/>
          <w:sz w:val="22"/>
        </w:rPr>
        <w:t xml:space="preserve">rgrep mot barn er utelukket fra arbeid i barnehagen.  Barnehagen kan kreve politiattest etter </w:t>
      </w:r>
    </w:p>
    <w:p w14:paraId="14B19EFE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1. ledd også for andre personer som regelmessig oppholder seg i barnehagen.  </w:t>
      </w:r>
    </w:p>
    <w:p w14:paraId="14B19EFF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0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12</w:t>
      </w:r>
    </w:p>
    <w:p w14:paraId="14B19F01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Leke- og oppholdsareal.  </w:t>
      </w:r>
    </w:p>
    <w:p w14:paraId="14B19F02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03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Barnehagen er godkjent med </w:t>
      </w:r>
      <w:smartTag w:uri="urn:schemas-microsoft-com:office:smarttags" w:element="metricconverter">
        <w:smartTagPr>
          <w:attr w:name="ProductID" w:val="371,8 m2"/>
        </w:smartTagPr>
        <w:r>
          <w:rPr>
            <w:rFonts w:ascii="Bookman Old Style" w:hAnsi="Bookman Old Style"/>
            <w:sz w:val="22"/>
          </w:rPr>
          <w:t>371,8 m</w:t>
        </w:r>
        <w:r w:rsidRPr="00A02EBE">
          <w:rPr>
            <w:rFonts w:ascii="Bookman Old Style" w:hAnsi="Bookman Old Style"/>
            <w:sz w:val="22"/>
            <w:vertAlign w:val="superscript"/>
          </w:rPr>
          <w:t>2</w:t>
        </w:r>
      </w:smartTag>
      <w:r>
        <w:rPr>
          <w:rFonts w:ascii="Bookman Old Style" w:hAnsi="Bookman Old Style"/>
          <w:sz w:val="22"/>
        </w:rPr>
        <w:t xml:space="preserve"> leke- og oppholdsareal.  </w:t>
      </w:r>
    </w:p>
    <w:p w14:paraId="14B19F04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Vi forholder oss til Rana kommunes normer for arealutnytting som er </w:t>
      </w:r>
      <w:smartTag w:uri="urn:schemas-microsoft-com:office:smarttags" w:element="metricconverter">
        <w:smartTagPr>
          <w:attr w:name="ProductID" w:val="5,2 m2"/>
        </w:smartTagPr>
        <w:r>
          <w:rPr>
            <w:rFonts w:ascii="Bookman Old Style" w:hAnsi="Bookman Old Style"/>
            <w:sz w:val="22"/>
          </w:rPr>
          <w:t>5,2 m</w:t>
        </w:r>
        <w:r w:rsidRPr="00A02EBE">
          <w:rPr>
            <w:rFonts w:ascii="Bookman Old Style" w:hAnsi="Bookman Old Style"/>
            <w:sz w:val="22"/>
            <w:vertAlign w:val="superscript"/>
          </w:rPr>
          <w:t>2</w:t>
        </w:r>
      </w:smartTag>
      <w:r>
        <w:rPr>
          <w:rFonts w:ascii="Bookman Old Style" w:hAnsi="Bookman Old Style"/>
          <w:sz w:val="22"/>
        </w:rPr>
        <w:t xml:space="preserve"> pr. barn under 3 år og </w:t>
      </w:r>
      <w:smartTag w:uri="urn:schemas-microsoft-com:office:smarttags" w:element="metricconverter">
        <w:smartTagPr>
          <w:attr w:name="ProductID" w:val="4 m2"/>
        </w:smartTagPr>
        <w:r>
          <w:rPr>
            <w:rFonts w:ascii="Bookman Old Style" w:hAnsi="Bookman Old Style"/>
            <w:sz w:val="22"/>
          </w:rPr>
          <w:t>4 m</w:t>
        </w:r>
        <w:r w:rsidRPr="00A02EBE">
          <w:rPr>
            <w:rFonts w:ascii="Bookman Old Style" w:hAnsi="Bookman Old Style"/>
            <w:sz w:val="22"/>
            <w:vertAlign w:val="superscript"/>
          </w:rPr>
          <w:t>2</w:t>
        </w:r>
      </w:smartTag>
      <w:r>
        <w:rPr>
          <w:rFonts w:ascii="Bookman Old Style" w:hAnsi="Bookman Old Style"/>
          <w:sz w:val="22"/>
        </w:rPr>
        <w:t xml:space="preserve"> for barn </w:t>
      </w:r>
      <w:smartTag w:uri="urn:schemas-microsoft-com:office:smarttags" w:element="PersonName">
        <w:r>
          <w:rPr>
            <w:rFonts w:ascii="Bookman Old Style" w:hAnsi="Bookman Old Style"/>
            <w:sz w:val="22"/>
          </w:rPr>
          <w:t>ove</w:t>
        </w:r>
      </w:smartTag>
      <w:r>
        <w:rPr>
          <w:rFonts w:ascii="Bookman Old Style" w:hAnsi="Bookman Old Style"/>
          <w:sz w:val="22"/>
        </w:rPr>
        <w:t xml:space="preserve">r 3 år.  </w:t>
      </w:r>
    </w:p>
    <w:p w14:paraId="14B19F05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06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13.</w:t>
      </w:r>
    </w:p>
    <w:p w14:paraId="14B19F07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Barnehagens styre og samarbeidsutvalg.  </w:t>
      </w:r>
    </w:p>
    <w:p w14:paraId="14B19F08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09" w14:textId="77777777" w:rsidR="004F349B" w:rsidRDefault="004F349B" w:rsidP="004F349B">
      <w:pPr>
        <w:rPr>
          <w:rFonts w:ascii="Bookman Old Style" w:hAnsi="Bookman Old Style"/>
          <w:sz w:val="22"/>
        </w:rPr>
      </w:pPr>
      <w:r w:rsidRPr="00A02EBE">
        <w:rPr>
          <w:rFonts w:ascii="Bookman Old Style" w:hAnsi="Bookman Old Style"/>
          <w:sz w:val="22"/>
          <w:u w:val="single"/>
        </w:rPr>
        <w:t xml:space="preserve">13.1. </w:t>
      </w:r>
      <w:r w:rsidRPr="00A02EBE">
        <w:rPr>
          <w:rFonts w:ascii="Bookman Old Style" w:hAnsi="Bookman Old Style"/>
          <w:sz w:val="22"/>
          <w:u w:val="single"/>
        </w:rPr>
        <w:tab/>
        <w:t>Styrets arbeidsmåte.</w:t>
      </w:r>
    </w:p>
    <w:p w14:paraId="14B19F0A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0B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ab/>
        <w:t>Styret er ansvarlig for:</w:t>
      </w:r>
    </w:p>
    <w:p w14:paraId="14B19F0C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0D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Barnehagens økonomi og bemanning</w:t>
      </w:r>
    </w:p>
    <w:p w14:paraId="14B19F0E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Fastsetting av barnehagens budsjett</w:t>
      </w:r>
    </w:p>
    <w:p w14:paraId="14B19F0F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Personalpolitiske retningslinjer</w:t>
      </w:r>
    </w:p>
    <w:p w14:paraId="14B19F10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Regnskap og årsmelding</w:t>
      </w:r>
    </w:p>
    <w:p w14:paraId="14B19F11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Driften av barnehagen i hht. gjeldende l</w:t>
      </w:r>
      <w:smartTag w:uri="urn:schemas-microsoft-com:office:smarttags" w:element="PersonName">
        <w:r>
          <w:rPr>
            <w:rFonts w:ascii="Bookman Old Style" w:hAnsi="Bookman Old Style"/>
            <w:sz w:val="22"/>
          </w:rPr>
          <w:t>ove</w:t>
        </w:r>
      </w:smartTag>
      <w:r>
        <w:rPr>
          <w:rFonts w:ascii="Bookman Old Style" w:hAnsi="Bookman Old Style"/>
          <w:sz w:val="22"/>
        </w:rPr>
        <w:t>r og forskrifter</w:t>
      </w:r>
    </w:p>
    <w:p w14:paraId="14B19F12" w14:textId="77777777" w:rsidR="004F349B" w:rsidRDefault="004F349B" w:rsidP="004F349B">
      <w:pPr>
        <w:ind w:left="705"/>
        <w:rPr>
          <w:rFonts w:ascii="Bookman Old Style" w:hAnsi="Bookman Old Style"/>
          <w:sz w:val="22"/>
        </w:rPr>
      </w:pPr>
    </w:p>
    <w:p w14:paraId="14B19F13" w14:textId="77777777" w:rsidR="004F349B" w:rsidRDefault="004F349B" w:rsidP="004F349B">
      <w:pPr>
        <w:ind w:left="705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Styret har for øvrig det ansvar som ellers måtte følge av aksjel</w:t>
      </w:r>
      <w:smartTag w:uri="urn:schemas-microsoft-com:office:smarttags" w:element="PersonName">
        <w:r>
          <w:rPr>
            <w:rFonts w:ascii="Bookman Old Style" w:hAnsi="Bookman Old Style"/>
            <w:sz w:val="22"/>
          </w:rPr>
          <w:t>ove</w:t>
        </w:r>
      </w:smartTag>
      <w:r>
        <w:rPr>
          <w:rFonts w:ascii="Bookman Old Style" w:hAnsi="Bookman Old Style"/>
          <w:sz w:val="22"/>
        </w:rPr>
        <w:t>ns regler.</w:t>
      </w:r>
    </w:p>
    <w:p w14:paraId="14B19F14" w14:textId="77777777" w:rsidR="004F349B" w:rsidRDefault="004F349B" w:rsidP="004F349B">
      <w:pPr>
        <w:ind w:left="705"/>
        <w:rPr>
          <w:rFonts w:ascii="Bookman Old Style" w:hAnsi="Bookman Old Style"/>
          <w:sz w:val="22"/>
        </w:rPr>
      </w:pPr>
    </w:p>
    <w:p w14:paraId="14B19F15" w14:textId="77777777" w:rsidR="004F349B" w:rsidRDefault="004F349B" w:rsidP="004F349B">
      <w:pPr>
        <w:ind w:left="705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Styret skal minimum avholde fire møter pr. år.</w:t>
      </w:r>
    </w:p>
    <w:p w14:paraId="14B19F16" w14:textId="77777777" w:rsidR="004F349B" w:rsidRDefault="004F349B" w:rsidP="004F349B">
      <w:pPr>
        <w:ind w:left="705"/>
        <w:rPr>
          <w:rFonts w:ascii="Bookman Old Style" w:hAnsi="Bookman Old Style"/>
          <w:sz w:val="22"/>
        </w:rPr>
      </w:pPr>
    </w:p>
    <w:p w14:paraId="14B19F17" w14:textId="77777777" w:rsidR="004F349B" w:rsidRDefault="004F349B" w:rsidP="004F349B">
      <w:pPr>
        <w:ind w:left="705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lastRenderedPageBreak/>
        <w:t xml:space="preserve">**** </w:t>
      </w:r>
    </w:p>
    <w:p w14:paraId="14B19F18" w14:textId="77777777" w:rsidR="004F349B" w:rsidRDefault="004F349B" w:rsidP="004F349B">
      <w:pPr>
        <w:ind w:left="705"/>
        <w:jc w:val="center"/>
        <w:rPr>
          <w:rFonts w:ascii="Bookman Old Style" w:hAnsi="Bookman Old Style"/>
          <w:b/>
          <w:sz w:val="22"/>
        </w:rPr>
      </w:pPr>
    </w:p>
    <w:p w14:paraId="14B19F19" w14:textId="77777777" w:rsidR="004F349B" w:rsidRDefault="004F349B" w:rsidP="004F349B">
      <w:pPr>
        <w:ind w:left="705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Daglig leder i barnehagen har møteplikt, tale- og forslagsrett i styret, men ikke stemmerett.  Daglig leder fungerer som sekretær, og står for utadrettede oppgaver som f. eks. ansettelser og opptak av barn.  </w:t>
      </w:r>
    </w:p>
    <w:p w14:paraId="14B19F1A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1B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  <w:u w:val="single"/>
        </w:rPr>
        <w:t xml:space="preserve">13.2. </w:t>
      </w:r>
      <w:r>
        <w:rPr>
          <w:rFonts w:ascii="Bookman Old Style" w:hAnsi="Bookman Old Style"/>
          <w:sz w:val="22"/>
          <w:u w:val="single"/>
        </w:rPr>
        <w:tab/>
        <w:t>Samarbeidsutvalg.</w:t>
      </w:r>
    </w:p>
    <w:p w14:paraId="14B19F1C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1D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ab/>
        <w:t xml:space="preserve">Det velges også et samarbeidsutvalg som består av seks personer.  To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foreldrerepresentanter, to ansatterepresentanter og to representanter fra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eierne.  Daglig leder har møteplikt, tale- og forslagsrett, men ikke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stemmerett i samarbeidsutvalget.  Samarbeidsutvalget konstituerer seg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selv.  Eierrepresentantene (en fra hver bedrift) i samarbeidsutvalget skal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rekrutteres fra styret.  Samarbeidsutvalget skal ha et særlig ansvar for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barnehagens indre forhold.  Indre forhold knytter seg først og fremst til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barnas og de voksnes liv i barnehagen, så som planer for virksomheten,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bruk av lokalene og uteområder, tilstelninger, utflukter, dugnader og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>lignende.</w:t>
      </w:r>
      <w:r>
        <w:rPr>
          <w:rFonts w:ascii="Bookman Old Style" w:hAnsi="Bookman Old Style"/>
          <w:sz w:val="22"/>
        </w:rPr>
        <w:br/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Samarbeidsutvalget avholder 1-2 møter pr. år.  Som samarbeidsutvalgets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vedtak gjelder det som flertallet av de møtende har stemt for.  Ved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stemmelikhet gjelder det som lederen har stemt for.  Er lederen ikke til </w:t>
      </w:r>
      <w:r>
        <w:rPr>
          <w:rFonts w:ascii="Bookman Old Style" w:hAnsi="Bookman Old Style"/>
          <w:sz w:val="22"/>
        </w:rPr>
        <w:br/>
        <w:t xml:space="preserve"> </w:t>
      </w:r>
      <w:r>
        <w:rPr>
          <w:rFonts w:ascii="Bookman Old Style" w:hAnsi="Bookman Old Style"/>
          <w:sz w:val="22"/>
        </w:rPr>
        <w:tab/>
        <w:t xml:space="preserve">stede, gjelder det som møtelederen har stemt for.  </w:t>
      </w:r>
    </w:p>
    <w:p w14:paraId="14B19F1E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1F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14</w:t>
      </w:r>
    </w:p>
    <w:p w14:paraId="14B19F2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Foreldremøter.</w:t>
      </w:r>
    </w:p>
    <w:p w14:paraId="14B19F21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22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Foreldremøter avholdes en til to ganger i året.  Pedagogisk leder skal en til to ganger i året innkalle de enkelte foreldre/foresatte til foreldresamtaler.  </w:t>
      </w:r>
    </w:p>
    <w:p w14:paraId="14B19F23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24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15</w:t>
      </w:r>
    </w:p>
    <w:p w14:paraId="14B19F25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Daglig leder.</w:t>
      </w:r>
    </w:p>
    <w:p w14:paraId="14B19F26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27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Daglig leder skal ha utdanning som barnehagelærer eller annen høgskoleutdanning som gir barnefaglig og pedagogisk kompentanse.  Vedkommende har det administrative, pedagogiske og personalmessige ansvar for drift av barnehagen.  </w:t>
      </w:r>
    </w:p>
    <w:p w14:paraId="14B19F28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29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16</w:t>
      </w:r>
    </w:p>
    <w:p w14:paraId="14B19F2A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Bruk av barnehagelokalene.</w:t>
      </w:r>
    </w:p>
    <w:p w14:paraId="14B19F2B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2C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Styret avgjør i samråd med daglig leder hvorvidt og eventuelt når barnehagelokalene kan benyttes til andre formål utenom barnehagens åpningstider.  </w:t>
      </w:r>
    </w:p>
    <w:p w14:paraId="14B19F2D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2E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17</w:t>
      </w:r>
    </w:p>
    <w:p w14:paraId="14B19F2F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Taushetsplikt.  </w:t>
      </w:r>
    </w:p>
    <w:p w14:paraId="14B19F3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31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For medlemmer av styret og samarbeidsutvalget, samt barnehagens ansatte gjelder reglene om taushetsplikt i forvaltningsl</w:t>
      </w:r>
      <w:smartTag w:uri="urn:schemas-microsoft-com:office:smarttags" w:element="PersonName">
        <w:r>
          <w:rPr>
            <w:rFonts w:ascii="Bookman Old Style" w:hAnsi="Bookman Old Style"/>
            <w:sz w:val="22"/>
          </w:rPr>
          <w:t>ove</w:t>
        </w:r>
      </w:smartTag>
      <w:r>
        <w:rPr>
          <w:rFonts w:ascii="Bookman Old Style" w:hAnsi="Bookman Old Style"/>
          <w:sz w:val="22"/>
        </w:rPr>
        <w:t xml:space="preserve">ns § 13 og 13 a-f tilsvarende. </w:t>
      </w:r>
    </w:p>
    <w:p w14:paraId="14B19F32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33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</w:p>
    <w:p w14:paraId="14B19F34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35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18</w:t>
      </w:r>
    </w:p>
    <w:p w14:paraId="14B19F36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Internkontroll.</w:t>
      </w:r>
    </w:p>
    <w:p w14:paraId="14B19F37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38" w14:textId="77777777" w:rsidR="004F349B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lastRenderedPageBreak/>
        <w:t>Barnehagen har utviklet et kvalitetssikringssystem som omfatter:</w:t>
      </w:r>
    </w:p>
    <w:p w14:paraId="14B19F39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3A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Opptak av barn</w:t>
      </w:r>
    </w:p>
    <w:p w14:paraId="14B19F3B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Økonomi</w:t>
      </w:r>
    </w:p>
    <w:p w14:paraId="14B19F3C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HMS</w:t>
      </w:r>
    </w:p>
    <w:p w14:paraId="14B19F3D" w14:textId="77777777" w:rsidR="004F349B" w:rsidRDefault="004F349B" w:rsidP="004F349B">
      <w:pPr>
        <w:numPr>
          <w:ilvl w:val="0"/>
          <w:numId w:val="2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Det pedagogiske arbeid med barna</w:t>
      </w:r>
    </w:p>
    <w:p w14:paraId="14B19F3E" w14:textId="77777777" w:rsidR="004F349B" w:rsidRDefault="004F349B" w:rsidP="004F349B">
      <w:pPr>
        <w:rPr>
          <w:rFonts w:ascii="Bookman Old Style" w:hAnsi="Bookman Old Style"/>
          <w:sz w:val="22"/>
        </w:rPr>
      </w:pPr>
    </w:p>
    <w:p w14:paraId="14B19F3F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§ 19</w:t>
      </w:r>
    </w:p>
    <w:p w14:paraId="14B19F40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Endring av regelverket.</w:t>
      </w:r>
    </w:p>
    <w:p w14:paraId="14B19F41" w14:textId="77777777" w:rsidR="004F349B" w:rsidRDefault="004F349B" w:rsidP="004F349B">
      <w:pPr>
        <w:rPr>
          <w:rFonts w:ascii="Bookman Old Style" w:hAnsi="Bookman Old Style"/>
          <w:b/>
          <w:sz w:val="22"/>
        </w:rPr>
      </w:pPr>
    </w:p>
    <w:p w14:paraId="14B19F42" w14:textId="77777777" w:rsidR="004F349B" w:rsidRPr="00104125" w:rsidRDefault="004F349B" w:rsidP="004F349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Endring av regelverket krever generalforsamlingens godkjennelse.  </w:t>
      </w:r>
    </w:p>
    <w:p w14:paraId="14B19F43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4" w14:textId="77777777" w:rsidR="004F349B" w:rsidRPr="00104125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5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6" w14:textId="77777777" w:rsidR="004F349B" w:rsidRPr="00104125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7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8" w14:textId="77777777" w:rsidR="004F349B" w:rsidRPr="00802E76" w:rsidRDefault="004F349B" w:rsidP="004F349B">
      <w:pPr>
        <w:rPr>
          <w:rFonts w:ascii="Bookman Old Style" w:hAnsi="Bookman Old Style"/>
          <w:sz w:val="22"/>
        </w:rPr>
      </w:pPr>
    </w:p>
    <w:p w14:paraId="14B19F49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A" w14:textId="77777777" w:rsidR="004F349B" w:rsidRPr="00802E76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B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C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D" w14:textId="77777777" w:rsidR="004F349B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E" w14:textId="77777777" w:rsidR="004F349B" w:rsidRPr="00490B3C" w:rsidRDefault="004F349B" w:rsidP="004F349B">
      <w:pPr>
        <w:jc w:val="center"/>
        <w:rPr>
          <w:rFonts w:ascii="Bookman Old Style" w:hAnsi="Bookman Old Style"/>
          <w:b/>
          <w:sz w:val="22"/>
        </w:rPr>
      </w:pPr>
    </w:p>
    <w:p w14:paraId="14B19F4F" w14:textId="77777777" w:rsidR="004F349B" w:rsidRDefault="004F349B"/>
    <w:sectPr w:rsidR="004F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95CB3"/>
    <w:multiLevelType w:val="hybridMultilevel"/>
    <w:tmpl w:val="B13CD1F6"/>
    <w:lvl w:ilvl="0" w:tplc="C1042AF0">
      <w:start w:val="13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B74EBE"/>
    <w:multiLevelType w:val="hybridMultilevel"/>
    <w:tmpl w:val="45E48F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9B"/>
    <w:rsid w:val="004B5B19"/>
    <w:rsid w:val="004F349B"/>
    <w:rsid w:val="00A70704"/>
    <w:rsid w:val="00CE74C4"/>
    <w:rsid w:val="00E10713"/>
    <w:rsid w:val="00E3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B19E9B"/>
  <w15:chartTrackingRefBased/>
  <w15:docId w15:val="{752CD797-1CAD-4DDA-933E-A1D8E8B4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FACD9F858BC4FB3853BBCA85BC5C5" ma:contentTypeVersion="8" ma:contentTypeDescription="Opprett et nytt dokument." ma:contentTypeScope="" ma:versionID="58d975920759a14dc7bc6b9618e6e1fb">
  <xsd:schema xmlns:xsd="http://www.w3.org/2001/XMLSchema" xmlns:xs="http://www.w3.org/2001/XMLSchema" xmlns:p="http://schemas.microsoft.com/office/2006/metadata/properties" xmlns:ns2="9f9a2b01-f07b-42f1-a213-90362679b91c" xmlns:ns3="6a6fdfad-af68-4161-8d0c-9a93de7e2bdd" targetNamespace="http://schemas.microsoft.com/office/2006/metadata/properties" ma:root="true" ma:fieldsID="321a113e3152037aceee03c05fc3e01a" ns2:_="" ns3:_="">
    <xsd:import namespace="9f9a2b01-f07b-42f1-a213-90362679b91c"/>
    <xsd:import namespace="6a6fdfad-af68-4161-8d0c-9a93de7e2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2b01-f07b-42f1-a213-90362679b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dfad-af68-4161-8d0c-9a93de7e2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2AEE9-0E10-46DB-A3DA-AFD2B5673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76B2-2602-43C7-9734-37C236D8E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A1C61-BE6D-4650-985F-D3C8EB942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2b01-f07b-42f1-a213-90362679b91c"/>
    <ds:schemaRef ds:uri="6a6fdfad-af68-4161-8d0c-9a93de7e2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1216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Aronsen</dc:creator>
  <cp:keywords/>
  <dc:description/>
  <cp:lastModifiedBy>Turid Aronsen</cp:lastModifiedBy>
  <cp:revision>4</cp:revision>
  <dcterms:created xsi:type="dcterms:W3CDTF">2019-09-19T08:43:00Z</dcterms:created>
  <dcterms:modified xsi:type="dcterms:W3CDTF">2019-09-19T10:39:00Z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0x010100EE1FACD9F858BC4FB3853BBCA85BC5C5</vt:lpwstr>
  </property>
</Properties>
</file>